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1D84" w14:textId="77777777" w:rsidR="00DA02A8" w:rsidRPr="00FB30F5" w:rsidRDefault="00DA02A8" w:rsidP="00DA02A8">
      <w:pPr>
        <w:pStyle w:val="Heading4"/>
        <w:spacing w:after="100"/>
        <w:jc w:val="center"/>
        <w:rPr>
          <w:sz w:val="21"/>
          <w:szCs w:val="21"/>
        </w:rPr>
      </w:pPr>
      <w:r w:rsidRPr="00FB30F5">
        <w:rPr>
          <w:sz w:val="21"/>
          <w:szCs w:val="21"/>
        </w:rPr>
        <w:t>Home office worksheet (running expenses and occupancy costs)</w:t>
      </w:r>
    </w:p>
    <w:p w14:paraId="29321032" w14:textId="77777777" w:rsidR="00DA02A8" w:rsidRDefault="00DA02A8" w:rsidP="00DA02A8">
      <w:pPr>
        <w:pStyle w:val="BodyText"/>
        <w:tabs>
          <w:tab w:val="left" w:pos="2552"/>
          <w:tab w:val="right" w:leader="underscore" w:pos="9356"/>
        </w:tabs>
        <w:spacing w:after="100"/>
        <w:rPr>
          <w:b/>
        </w:rPr>
      </w:pPr>
    </w:p>
    <w:p w14:paraId="00A40D56" w14:textId="77777777" w:rsidR="00DA02A8" w:rsidRPr="002C1B10" w:rsidRDefault="00DA02A8" w:rsidP="00DA02A8">
      <w:pPr>
        <w:pStyle w:val="BodyText"/>
        <w:tabs>
          <w:tab w:val="left" w:pos="2552"/>
          <w:tab w:val="right" w:leader="underscore" w:pos="9356"/>
        </w:tabs>
        <w:spacing w:after="100"/>
        <w:rPr>
          <w:b/>
        </w:rPr>
      </w:pPr>
      <w:r w:rsidRPr="002C1B10">
        <w:rPr>
          <w:b/>
        </w:rPr>
        <w:t>Taxpayer’s name</w:t>
      </w:r>
      <w:r w:rsidRPr="002C1B10">
        <w:rPr>
          <w:b/>
        </w:rPr>
        <w:tab/>
      </w:r>
      <w:r w:rsidRPr="002C1B10">
        <w:rPr>
          <w:b/>
        </w:rPr>
        <w:tab/>
      </w:r>
    </w:p>
    <w:p w14:paraId="30A04514" w14:textId="77777777" w:rsidR="00DA02A8" w:rsidRPr="002C1B10" w:rsidRDefault="00DA02A8" w:rsidP="00DA02A8">
      <w:pPr>
        <w:pStyle w:val="BodyText"/>
        <w:tabs>
          <w:tab w:val="left" w:pos="2552"/>
          <w:tab w:val="right" w:leader="underscore" w:pos="9356"/>
        </w:tabs>
        <w:spacing w:after="100"/>
        <w:rPr>
          <w:b/>
        </w:rPr>
      </w:pPr>
      <w:r w:rsidRPr="002C1B10">
        <w:rPr>
          <w:b/>
        </w:rPr>
        <w:t>Tax file number</w:t>
      </w:r>
      <w:r w:rsidRPr="002C1B10">
        <w:rPr>
          <w:b/>
        </w:rPr>
        <w:tab/>
      </w:r>
      <w:r w:rsidRPr="002C1B10">
        <w:rPr>
          <w:b/>
        </w:rPr>
        <w:tab/>
      </w:r>
    </w:p>
    <w:p w14:paraId="0F86E9E2" w14:textId="77777777" w:rsidR="00DA02A8" w:rsidRPr="002C1B10" w:rsidRDefault="00DA02A8" w:rsidP="00DA02A8">
      <w:pPr>
        <w:pStyle w:val="BodyText"/>
        <w:tabs>
          <w:tab w:val="left" w:pos="2552"/>
          <w:tab w:val="right" w:leader="underscore" w:pos="9356"/>
        </w:tabs>
        <w:spacing w:after="100"/>
        <w:rPr>
          <w:b/>
        </w:rPr>
      </w:pPr>
      <w:r w:rsidRPr="002C1B10">
        <w:rPr>
          <w:b/>
        </w:rPr>
        <w:t>Year ended</w:t>
      </w:r>
      <w:r w:rsidRPr="002C1B10">
        <w:rPr>
          <w:b/>
        </w:rPr>
        <w:tab/>
      </w:r>
      <w:r w:rsidRPr="002C1B10">
        <w:rPr>
          <w:b/>
        </w:rPr>
        <w:tab/>
      </w:r>
    </w:p>
    <w:p w14:paraId="45C74B5F" w14:textId="77777777" w:rsidR="00DA02A8" w:rsidRPr="00FB30F5" w:rsidRDefault="00DA02A8" w:rsidP="00DA02A8">
      <w:pPr>
        <w:pStyle w:val="Heading4"/>
        <w:spacing w:after="100"/>
        <w:rPr>
          <w:sz w:val="21"/>
          <w:szCs w:val="21"/>
        </w:rPr>
      </w:pPr>
      <w:r w:rsidRPr="00FB30F5">
        <w:rPr>
          <w:sz w:val="21"/>
          <w:szCs w:val="21"/>
        </w:rPr>
        <w:t xml:space="preserve">Home office running expenses </w:t>
      </w:r>
    </w:p>
    <w:p w14:paraId="09A3498E" w14:textId="77777777" w:rsidR="00DA02A8" w:rsidRDefault="00DA02A8" w:rsidP="00DA02A8">
      <w:pPr>
        <w:pStyle w:val="BodyText"/>
        <w:spacing w:after="100"/>
        <w:rPr>
          <w:szCs w:val="21"/>
        </w:rPr>
      </w:pPr>
      <w:r w:rsidRPr="00FA60DE">
        <w:rPr>
          <w:szCs w:val="21"/>
        </w:rPr>
        <w:t xml:space="preserve">These include utilities such as gas, electricity, heating and lighting, as well as depreciation of home office furniture and furnishings.  </w:t>
      </w:r>
    </w:p>
    <w:p w14:paraId="584973B3" w14:textId="77777777" w:rsidR="00DA02A8" w:rsidRDefault="00DA02A8" w:rsidP="00DA02A8">
      <w:pPr>
        <w:pStyle w:val="BodyText"/>
        <w:spacing w:after="100"/>
        <w:rPr>
          <w:szCs w:val="21"/>
        </w:rPr>
      </w:pPr>
      <w:r>
        <w:rPr>
          <w:szCs w:val="21"/>
        </w:rPr>
        <w:t>H</w:t>
      </w:r>
      <w:r w:rsidRPr="00FA60DE">
        <w:rPr>
          <w:szCs w:val="21"/>
        </w:rPr>
        <w:t xml:space="preserve">ome office running expenses do </w:t>
      </w:r>
      <w:r w:rsidRPr="00FA60DE">
        <w:rPr>
          <w:b/>
          <w:szCs w:val="21"/>
        </w:rPr>
        <w:t>not</w:t>
      </w:r>
      <w:r w:rsidRPr="00FA60DE">
        <w:rPr>
          <w:szCs w:val="21"/>
        </w:rPr>
        <w:t xml:space="preserve"> include other deductible computer consumables and station</w:t>
      </w:r>
      <w:r>
        <w:rPr>
          <w:szCs w:val="21"/>
        </w:rPr>
        <w:t>e</w:t>
      </w:r>
      <w:r w:rsidRPr="00FA60DE">
        <w:rPr>
          <w:szCs w:val="21"/>
        </w:rPr>
        <w:t>ry</w:t>
      </w:r>
      <w:r>
        <w:rPr>
          <w:szCs w:val="21"/>
        </w:rPr>
        <w:t>,</w:t>
      </w:r>
      <w:r w:rsidRPr="00FA60DE">
        <w:rPr>
          <w:szCs w:val="21"/>
        </w:rPr>
        <w:t xml:space="preserve"> which may be separately claimed as a deduction (where appropriate).</w:t>
      </w:r>
    </w:p>
    <w:p w14:paraId="14E86CD3" w14:textId="77777777" w:rsidR="00DA02A8" w:rsidRDefault="00DA02A8" w:rsidP="00DA02A8">
      <w:pPr>
        <w:pStyle w:val="BodyText"/>
        <w:spacing w:after="100"/>
        <w:rPr>
          <w:szCs w:val="21"/>
        </w:rPr>
      </w:pPr>
      <w:r>
        <w:rPr>
          <w:szCs w:val="21"/>
        </w:rPr>
        <w:t>The most common methods used to claim home office running costs are the</w:t>
      </w:r>
      <w:r w:rsidRPr="00F24C8E">
        <w:rPr>
          <w:b/>
          <w:szCs w:val="21"/>
        </w:rPr>
        <w:t xml:space="preserve"> cents per hour (standard) method </w:t>
      </w:r>
      <w:r>
        <w:rPr>
          <w:szCs w:val="21"/>
        </w:rPr>
        <w:t xml:space="preserve">and the </w:t>
      </w:r>
      <w:r w:rsidRPr="00F24C8E">
        <w:rPr>
          <w:b/>
          <w:szCs w:val="21"/>
        </w:rPr>
        <w:t>ATO actual (formula) method</w:t>
      </w:r>
      <w:r>
        <w:rPr>
          <w:szCs w:val="21"/>
        </w:rPr>
        <w:t xml:space="preserve">, both of which simply require a taxpayer to record the number of hours their home office was used for work or business. </w:t>
      </w:r>
    </w:p>
    <w:p w14:paraId="33A3A97A" w14:textId="77777777" w:rsidR="00DA02A8" w:rsidRDefault="00DA02A8" w:rsidP="00DA02A8">
      <w:pPr>
        <w:pStyle w:val="ExampleHeading"/>
      </w:pPr>
      <w:bookmarkStart w:id="0" w:name="_Hlk40101927"/>
      <w:r>
        <w:t>TAX TIP – temporary COVID-19 shortcut method available</w:t>
      </w:r>
    </w:p>
    <w:p w14:paraId="28A98A75" w14:textId="77777777" w:rsidR="00DA02A8" w:rsidRPr="004249B4" w:rsidRDefault="00DA02A8" w:rsidP="00DA02A8">
      <w:pPr>
        <w:pStyle w:val="ExampleText"/>
      </w:pPr>
      <w:r w:rsidRPr="004249B4">
        <w:t>For the 30 June 202</w:t>
      </w:r>
      <w:r>
        <w:t>2</w:t>
      </w:r>
      <w:r w:rsidRPr="004249B4">
        <w:t xml:space="preserve"> year, consider using the COVID-19 temporary simplified method (shortcut method), applicable from 1 March 2020 to 30 June 2022 – refer to PCG 2020/3.  </w:t>
      </w:r>
    </w:p>
    <w:p w14:paraId="0B317BE1" w14:textId="77777777" w:rsidR="00DA02A8" w:rsidRPr="004249B4" w:rsidRDefault="00DA02A8" w:rsidP="00DA02A8">
      <w:pPr>
        <w:pStyle w:val="ExampleText"/>
      </w:pPr>
      <w:r w:rsidRPr="004249B4">
        <w:t>Under this method,</w:t>
      </w:r>
      <w:r w:rsidRPr="004249B4">
        <w:rPr>
          <w:rFonts w:cs="Arial"/>
          <w:shd w:val="clear" w:color="auto" w:fill="FFFFFF"/>
        </w:rPr>
        <w:t xml:space="preserve"> home office running costs can be claimed at a rate of 80 cents per work hour for </w:t>
      </w:r>
      <w:r w:rsidRPr="004249B4">
        <w:rPr>
          <w:rFonts w:cs="Arial"/>
          <w:u w:val="single"/>
          <w:shd w:val="clear" w:color="auto" w:fill="FFFFFF"/>
        </w:rPr>
        <w:t>all</w:t>
      </w:r>
      <w:r w:rsidRPr="004249B4">
        <w:rPr>
          <w:rFonts w:cs="Arial"/>
          <w:shd w:val="clear" w:color="auto" w:fill="FFFFFF"/>
        </w:rPr>
        <w:t xml:space="preserve"> additional running expenses</w:t>
      </w:r>
      <w:r w:rsidRPr="004249B4">
        <w:t>.</w:t>
      </w:r>
    </w:p>
    <w:bookmarkEnd w:id="0"/>
    <w:p w14:paraId="046A2442" w14:textId="77777777" w:rsidR="00DA02A8" w:rsidRPr="005269DE" w:rsidRDefault="00DA02A8" w:rsidP="00DA02A8">
      <w:pPr>
        <w:pStyle w:val="BodyText"/>
        <w:spacing w:before="120" w:after="100"/>
        <w:jc w:val="center"/>
        <w:rPr>
          <w:b/>
          <w:szCs w:val="21"/>
        </w:rPr>
      </w:pPr>
      <w:r>
        <w:rPr>
          <w:b/>
          <w:szCs w:val="21"/>
        </w:rPr>
        <w:t>Which</w:t>
      </w:r>
      <w:r w:rsidRPr="005269DE">
        <w:rPr>
          <w:b/>
          <w:szCs w:val="21"/>
        </w:rPr>
        <w:t xml:space="preserve"> method </w:t>
      </w:r>
      <w:r>
        <w:rPr>
          <w:b/>
          <w:szCs w:val="21"/>
        </w:rPr>
        <w:t xml:space="preserve">is being used to claim the </w:t>
      </w:r>
      <w:r w:rsidRPr="005269DE">
        <w:rPr>
          <w:b/>
          <w:szCs w:val="21"/>
        </w:rPr>
        <w:t xml:space="preserve">home office </w:t>
      </w:r>
      <w:r>
        <w:rPr>
          <w:b/>
          <w:szCs w:val="21"/>
        </w:rPr>
        <w:t>running costs</w:t>
      </w:r>
      <w:r w:rsidRPr="005269DE">
        <w:rPr>
          <w:b/>
          <w:szCs w:val="21"/>
        </w:rPr>
        <w:t>? (please tick</w:t>
      </w:r>
      <w:r>
        <w:rPr>
          <w:b/>
          <w:szCs w:val="21"/>
        </w:rPr>
        <w:t>)</w:t>
      </w:r>
    </w:p>
    <w:p w14:paraId="76FDB052" w14:textId="77777777" w:rsidR="00DA02A8" w:rsidRPr="001D2F04" w:rsidRDefault="00DA02A8" w:rsidP="00DA02A8">
      <w:pPr>
        <w:pStyle w:val="BodyText"/>
        <w:numPr>
          <w:ilvl w:val="0"/>
          <w:numId w:val="1"/>
        </w:numPr>
        <w:spacing w:before="120" w:after="100"/>
        <w:ind w:right="-356"/>
        <w:jc w:val="left"/>
        <w:rPr>
          <w:b/>
          <w:szCs w:val="21"/>
        </w:rPr>
      </w:pPr>
      <w:r w:rsidRPr="001D2F04">
        <w:rPr>
          <w:b/>
          <w:szCs w:val="21"/>
        </w:rPr>
        <w:t>Method 1: Cents per hour (standard) method</w:t>
      </w:r>
      <w:r>
        <w:rPr>
          <w:b/>
          <w:szCs w:val="21"/>
        </w:rPr>
        <w:t xml:space="preserve">  </w:t>
      </w:r>
      <w:r w:rsidRPr="007D763D">
        <w:rPr>
          <w:b/>
          <w:sz w:val="18"/>
          <w:szCs w:val="18"/>
        </w:rPr>
        <w:t xml:space="preserve">(i.e., </w:t>
      </w:r>
      <w:r w:rsidRPr="007D763D">
        <w:rPr>
          <w:b/>
          <w:color w:val="FF0000"/>
          <w:sz w:val="18"/>
          <w:szCs w:val="18"/>
        </w:rPr>
        <w:t xml:space="preserve">52 cents per hour </w:t>
      </w:r>
      <w:r w:rsidRPr="007D763D">
        <w:rPr>
          <w:b/>
          <w:sz w:val="18"/>
          <w:szCs w:val="18"/>
        </w:rPr>
        <w:t xml:space="preserve">for the </w:t>
      </w:r>
      <w:r w:rsidRPr="007D763D">
        <w:rPr>
          <w:b/>
          <w:color w:val="FF0000"/>
          <w:sz w:val="18"/>
          <w:szCs w:val="18"/>
        </w:rPr>
        <w:t>20</w:t>
      </w:r>
      <w:r>
        <w:rPr>
          <w:b/>
          <w:color w:val="FF0000"/>
          <w:sz w:val="18"/>
          <w:szCs w:val="18"/>
        </w:rPr>
        <w:t>22</w:t>
      </w:r>
      <w:r w:rsidRPr="007D763D">
        <w:rPr>
          <w:b/>
          <w:sz w:val="18"/>
          <w:szCs w:val="18"/>
        </w:rPr>
        <w:t xml:space="preserve"> income yea</w:t>
      </w:r>
      <w:r>
        <w:rPr>
          <w:b/>
          <w:sz w:val="18"/>
          <w:szCs w:val="18"/>
        </w:rPr>
        <w:t>r</w:t>
      </w:r>
      <w:r w:rsidRPr="007D763D">
        <w:rPr>
          <w:b/>
          <w:sz w:val="18"/>
          <w:szCs w:val="18"/>
        </w:rPr>
        <w:t>)</w:t>
      </w:r>
      <w:r w:rsidRPr="001D2F04">
        <w:rPr>
          <w:b/>
          <w:szCs w:val="21"/>
        </w:rPr>
        <w:t xml:space="preserve">  </w:t>
      </w:r>
    </w:p>
    <w:p w14:paraId="7D622A67" w14:textId="77777777" w:rsidR="00DA02A8" w:rsidRDefault="00DA02A8" w:rsidP="00DA02A8">
      <w:pPr>
        <w:pStyle w:val="BodyText"/>
        <w:numPr>
          <w:ilvl w:val="0"/>
          <w:numId w:val="1"/>
        </w:numPr>
        <w:spacing w:before="120" w:after="100"/>
        <w:jc w:val="left"/>
        <w:rPr>
          <w:b/>
          <w:szCs w:val="21"/>
        </w:rPr>
      </w:pPr>
      <w:r w:rsidRPr="001D2F04">
        <w:rPr>
          <w:b/>
          <w:szCs w:val="21"/>
        </w:rPr>
        <w:t xml:space="preserve">Method 2: ATO </w:t>
      </w:r>
      <w:r>
        <w:rPr>
          <w:b/>
          <w:szCs w:val="21"/>
        </w:rPr>
        <w:t>actual (</w:t>
      </w:r>
      <w:r w:rsidRPr="001D2F04">
        <w:rPr>
          <w:b/>
          <w:szCs w:val="21"/>
        </w:rPr>
        <w:t>formula</w:t>
      </w:r>
      <w:r>
        <w:rPr>
          <w:b/>
          <w:szCs w:val="21"/>
        </w:rPr>
        <w:t>)</w:t>
      </w:r>
      <w:r w:rsidRPr="001D2F04">
        <w:rPr>
          <w:b/>
          <w:szCs w:val="21"/>
        </w:rPr>
        <w:t xml:space="preserve"> method </w:t>
      </w:r>
    </w:p>
    <w:p w14:paraId="3A01B1EC" w14:textId="77777777" w:rsidR="00DA02A8" w:rsidRPr="004249B4" w:rsidRDefault="00DA02A8" w:rsidP="00DA02A8">
      <w:pPr>
        <w:pStyle w:val="BodyText"/>
        <w:spacing w:before="120" w:after="100"/>
        <w:jc w:val="left"/>
        <w:rPr>
          <w:szCs w:val="21"/>
        </w:rPr>
      </w:pPr>
      <w:r>
        <w:rPr>
          <w:szCs w:val="21"/>
        </w:rPr>
        <w:t>P</w:t>
      </w:r>
      <w:r w:rsidRPr="005A2C4C">
        <w:rPr>
          <w:szCs w:val="21"/>
        </w:rPr>
        <w:t xml:space="preserve">lease ensure that the taxpayer can appropriately evidence the hours worked in the home office.  Refer to the </w:t>
      </w:r>
      <w:r w:rsidRPr="005A2C4C">
        <w:rPr>
          <w:b/>
          <w:szCs w:val="21"/>
        </w:rPr>
        <w:t>Home Office Usage Diary</w:t>
      </w:r>
      <w:r w:rsidRPr="005A2C4C">
        <w:rPr>
          <w:szCs w:val="21"/>
        </w:rPr>
        <w:t>.</w:t>
      </w:r>
    </w:p>
    <w:p w14:paraId="6E1371FD" w14:textId="77777777" w:rsidR="00DA02A8" w:rsidRPr="0030790A" w:rsidRDefault="00DA02A8" w:rsidP="00DA02A8">
      <w:pPr>
        <w:pStyle w:val="BodyText"/>
        <w:spacing w:before="120" w:after="100"/>
        <w:rPr>
          <w:b/>
          <w:u w:val="single"/>
        </w:rPr>
      </w:pPr>
      <w:r w:rsidRPr="0030790A">
        <w:rPr>
          <w:b/>
          <w:u w:val="single"/>
        </w:rPr>
        <w:t xml:space="preserve">Method 1: </w:t>
      </w:r>
      <w:r>
        <w:rPr>
          <w:b/>
          <w:u w:val="single"/>
        </w:rPr>
        <w:t>Cents per hour (s</w:t>
      </w:r>
      <w:r w:rsidRPr="0030790A">
        <w:rPr>
          <w:b/>
          <w:u w:val="single"/>
        </w:rPr>
        <w:t>tandard</w:t>
      </w:r>
      <w:r>
        <w:rPr>
          <w:b/>
          <w:u w:val="single"/>
        </w:rPr>
        <w:t>)</w:t>
      </w:r>
      <w:r w:rsidRPr="0030790A">
        <w:rPr>
          <w:b/>
          <w:u w:val="single"/>
        </w:rPr>
        <w:t xml:space="preserve"> method</w:t>
      </w:r>
      <w:r>
        <w:tab/>
      </w:r>
    </w:p>
    <w:tbl>
      <w:tblPr>
        <w:tblW w:w="0" w:type="auto"/>
        <w:tblInd w:w="534" w:type="dxa"/>
        <w:tblLook w:val="01E0" w:firstRow="1" w:lastRow="1" w:firstColumn="1" w:lastColumn="1" w:noHBand="0" w:noVBand="0"/>
      </w:tblPr>
      <w:tblGrid>
        <w:gridCol w:w="3785"/>
        <w:gridCol w:w="650"/>
        <w:gridCol w:w="1611"/>
        <w:gridCol w:w="2440"/>
      </w:tblGrid>
      <w:tr w:rsidR="00DA02A8" w:rsidRPr="008B5AE4" w14:paraId="5B81DE98" w14:textId="77777777" w:rsidTr="00321DDB">
        <w:tc>
          <w:tcPr>
            <w:tcW w:w="3804" w:type="dxa"/>
            <w:shd w:val="clear" w:color="auto" w:fill="auto"/>
          </w:tcPr>
          <w:p w14:paraId="7B08ED25" w14:textId="77777777" w:rsidR="00DA02A8" w:rsidRPr="008B5AE4" w:rsidRDefault="00DA02A8" w:rsidP="00321DDB">
            <w:pPr>
              <w:pStyle w:val="BodyText"/>
              <w:spacing w:before="120" w:after="100"/>
              <w:jc w:val="center"/>
              <w:rPr>
                <w:b/>
              </w:rPr>
            </w:pPr>
            <w:r w:rsidRPr="008B5AE4">
              <w:rPr>
                <w:b/>
              </w:rPr>
              <w:t xml:space="preserve">Number of </w:t>
            </w:r>
            <w:r>
              <w:rPr>
                <w:b/>
              </w:rPr>
              <w:t>h</w:t>
            </w:r>
            <w:r w:rsidRPr="008B5AE4">
              <w:rPr>
                <w:b/>
              </w:rPr>
              <w:t>ours home office used</w:t>
            </w:r>
          </w:p>
        </w:tc>
        <w:tc>
          <w:tcPr>
            <w:tcW w:w="653" w:type="dxa"/>
            <w:shd w:val="clear" w:color="auto" w:fill="auto"/>
          </w:tcPr>
          <w:p w14:paraId="207E968F" w14:textId="77777777" w:rsidR="00DA02A8" w:rsidRPr="008B5AE4" w:rsidRDefault="00DA02A8" w:rsidP="00321DDB">
            <w:pPr>
              <w:pStyle w:val="BodyText"/>
              <w:spacing w:before="120" w:after="100"/>
              <w:jc w:val="center"/>
              <w:rPr>
                <w:b/>
              </w:rPr>
            </w:pPr>
            <w:r w:rsidRPr="008B5AE4">
              <w:rPr>
                <w:b/>
              </w:rPr>
              <w:t>x</w:t>
            </w:r>
          </w:p>
        </w:tc>
        <w:tc>
          <w:tcPr>
            <w:tcW w:w="1616" w:type="dxa"/>
            <w:shd w:val="clear" w:color="auto" w:fill="auto"/>
          </w:tcPr>
          <w:p w14:paraId="3362B801" w14:textId="77777777" w:rsidR="00DA02A8" w:rsidRPr="008B5AE4" w:rsidRDefault="00DA02A8" w:rsidP="00321DDB">
            <w:pPr>
              <w:pStyle w:val="BodyText"/>
              <w:spacing w:before="120" w:after="100"/>
              <w:jc w:val="center"/>
              <w:rPr>
                <w:b/>
              </w:rPr>
            </w:pPr>
            <w:r w:rsidRPr="008B5AE4">
              <w:rPr>
                <w:b/>
              </w:rPr>
              <w:t>Standard rate</w:t>
            </w:r>
          </w:p>
        </w:tc>
        <w:tc>
          <w:tcPr>
            <w:tcW w:w="2458" w:type="dxa"/>
            <w:shd w:val="clear" w:color="auto" w:fill="auto"/>
          </w:tcPr>
          <w:p w14:paraId="6D39BFD9" w14:textId="77777777" w:rsidR="00DA02A8" w:rsidRPr="008B5AE4" w:rsidRDefault="00DA02A8" w:rsidP="00321DDB">
            <w:pPr>
              <w:pStyle w:val="BodyText"/>
              <w:spacing w:before="120" w:after="100"/>
              <w:rPr>
                <w:b/>
              </w:rPr>
            </w:pPr>
            <w:r>
              <w:rPr>
                <w:b/>
              </w:rPr>
              <w:t>=        Claim</w:t>
            </w:r>
          </w:p>
        </w:tc>
      </w:tr>
      <w:tr w:rsidR="00DA02A8" w14:paraId="5E704A7E" w14:textId="77777777" w:rsidTr="00321DDB">
        <w:tc>
          <w:tcPr>
            <w:tcW w:w="3804" w:type="dxa"/>
            <w:shd w:val="clear" w:color="auto" w:fill="auto"/>
          </w:tcPr>
          <w:p w14:paraId="20454350" w14:textId="77777777" w:rsidR="00DA02A8" w:rsidRDefault="00DA02A8" w:rsidP="00321DDB">
            <w:pPr>
              <w:pStyle w:val="BodyText"/>
              <w:tabs>
                <w:tab w:val="left" w:pos="1176"/>
                <w:tab w:val="right" w:leader="underscore" w:pos="3010"/>
              </w:tabs>
              <w:spacing w:before="120" w:after="100"/>
            </w:pPr>
            <w:r>
              <w:tab/>
            </w:r>
            <w:r>
              <w:tab/>
              <w:t>Hours</w:t>
            </w:r>
          </w:p>
        </w:tc>
        <w:tc>
          <w:tcPr>
            <w:tcW w:w="653" w:type="dxa"/>
            <w:shd w:val="clear" w:color="auto" w:fill="auto"/>
          </w:tcPr>
          <w:p w14:paraId="1C342297" w14:textId="77777777" w:rsidR="00DA02A8" w:rsidRDefault="00DA02A8" w:rsidP="00321DDB">
            <w:pPr>
              <w:pStyle w:val="BodyText"/>
              <w:spacing w:before="120" w:after="100"/>
              <w:jc w:val="center"/>
            </w:pPr>
            <w:r>
              <w:t>x</w:t>
            </w:r>
          </w:p>
        </w:tc>
        <w:tc>
          <w:tcPr>
            <w:tcW w:w="1616" w:type="dxa"/>
            <w:shd w:val="clear" w:color="auto" w:fill="auto"/>
          </w:tcPr>
          <w:p w14:paraId="171FBC1F" w14:textId="77777777" w:rsidR="00DA02A8" w:rsidRDefault="00DA02A8" w:rsidP="00321DDB">
            <w:pPr>
              <w:pStyle w:val="BodyText"/>
              <w:spacing w:before="120" w:after="100"/>
              <w:jc w:val="center"/>
            </w:pPr>
            <w:r w:rsidRPr="000712F5">
              <w:rPr>
                <w:b/>
                <w:color w:val="FF0000"/>
              </w:rPr>
              <w:t>52</w:t>
            </w:r>
            <w:r w:rsidRPr="00071383">
              <w:rPr>
                <w:b/>
                <w:color w:val="FF0000"/>
              </w:rPr>
              <w:t>c</w:t>
            </w:r>
            <w:r>
              <w:t xml:space="preserve"> per hour</w:t>
            </w:r>
          </w:p>
        </w:tc>
        <w:tc>
          <w:tcPr>
            <w:tcW w:w="2458" w:type="dxa"/>
            <w:shd w:val="clear" w:color="auto" w:fill="auto"/>
          </w:tcPr>
          <w:p w14:paraId="3780ACC1" w14:textId="77777777" w:rsidR="00DA02A8" w:rsidRDefault="00DA02A8" w:rsidP="00321DDB">
            <w:pPr>
              <w:pStyle w:val="BodyText"/>
              <w:tabs>
                <w:tab w:val="left" w:pos="513"/>
                <w:tab w:val="right" w:pos="2160"/>
              </w:tabs>
              <w:spacing w:before="120" w:after="100"/>
            </w:pPr>
            <w:r>
              <w:t>=  $</w:t>
            </w:r>
          </w:p>
        </w:tc>
      </w:tr>
    </w:tbl>
    <w:p w14:paraId="14E6B093" w14:textId="77777777" w:rsidR="00DA02A8" w:rsidRDefault="00DA02A8" w:rsidP="00DA02A8">
      <w:pPr>
        <w:pStyle w:val="BodyText"/>
        <w:spacing w:before="120" w:after="100"/>
        <w:rPr>
          <w:b/>
          <w:u w:val="single"/>
        </w:rPr>
      </w:pPr>
    </w:p>
    <w:p w14:paraId="7110A0FC" w14:textId="77777777" w:rsidR="00DA02A8" w:rsidRPr="004249B4" w:rsidRDefault="00DA02A8" w:rsidP="00DA02A8">
      <w:pPr>
        <w:pStyle w:val="BodyText"/>
        <w:rPr>
          <w:b/>
          <w:bCs/>
          <w:u w:val="single"/>
        </w:rPr>
      </w:pPr>
      <w:r w:rsidRPr="004249B4">
        <w:rPr>
          <w:b/>
          <w:bCs/>
          <w:u w:val="single"/>
        </w:rPr>
        <w:t xml:space="preserve">Method 2: ATO formula method  </w:t>
      </w:r>
    </w:p>
    <w:p w14:paraId="25FCDC7C" w14:textId="77777777" w:rsidR="00DA02A8" w:rsidRPr="00E000CF" w:rsidRDefault="00DA02A8" w:rsidP="00DA02A8">
      <w:pPr>
        <w:pStyle w:val="BodyText"/>
        <w:spacing w:before="120" w:after="100"/>
      </w:pPr>
      <w:r w:rsidRPr="00E000CF">
        <w:t>Note: A</w:t>
      </w:r>
      <w:r>
        <w:t>n</w:t>
      </w:r>
      <w:r w:rsidRPr="00E000CF">
        <w:t xml:space="preserve"> appropriately apportioned depreciation claim for home office furniture and furnishings would need to be </w:t>
      </w:r>
      <w:r>
        <w:t xml:space="preserve">separately </w:t>
      </w:r>
      <w:r w:rsidRPr="00E000CF">
        <w:t xml:space="preserve">calculated under this method.  For these purposes, reference should be made to the </w:t>
      </w:r>
      <w:r w:rsidRPr="00E000CF">
        <w:rPr>
          <w:b/>
        </w:rPr>
        <w:t>Depreciating Asset Usage Diary</w:t>
      </w:r>
      <w:r w:rsidRPr="00E000CF">
        <w:t xml:space="preserve">. </w:t>
      </w:r>
    </w:p>
    <w:tbl>
      <w:tblPr>
        <w:tblW w:w="9782" w:type="dxa"/>
        <w:tblInd w:w="-284" w:type="dxa"/>
        <w:tblLook w:val="01E0" w:firstRow="1" w:lastRow="1" w:firstColumn="1" w:lastColumn="1" w:noHBand="0" w:noVBand="0"/>
      </w:tblPr>
      <w:tblGrid>
        <w:gridCol w:w="2811"/>
        <w:gridCol w:w="352"/>
        <w:gridCol w:w="1701"/>
        <w:gridCol w:w="412"/>
        <w:gridCol w:w="4506"/>
      </w:tblGrid>
      <w:tr w:rsidR="00DA02A8" w:rsidRPr="00722C98" w14:paraId="10FE9972" w14:textId="77777777" w:rsidTr="00321DDB">
        <w:tc>
          <w:tcPr>
            <w:tcW w:w="2811" w:type="dxa"/>
            <w:shd w:val="clear" w:color="auto" w:fill="auto"/>
          </w:tcPr>
          <w:p w14:paraId="70A33B1D" w14:textId="77777777" w:rsidR="00DA02A8" w:rsidRPr="00722C98" w:rsidRDefault="00DA02A8" w:rsidP="00321DDB">
            <w:pPr>
              <w:pStyle w:val="BodyText"/>
              <w:spacing w:before="120" w:after="100"/>
              <w:jc w:val="center"/>
              <w:rPr>
                <w:b/>
              </w:rPr>
            </w:pPr>
            <w:r w:rsidRPr="00722C98">
              <w:rPr>
                <w:b/>
              </w:rPr>
              <w:t>Cost per unit of power, heat light etc</w:t>
            </w:r>
          </w:p>
        </w:tc>
        <w:tc>
          <w:tcPr>
            <w:tcW w:w="352" w:type="dxa"/>
            <w:shd w:val="clear" w:color="auto" w:fill="auto"/>
          </w:tcPr>
          <w:p w14:paraId="411FBEF9" w14:textId="77777777" w:rsidR="00DA02A8" w:rsidRPr="00722C98" w:rsidRDefault="00DA02A8" w:rsidP="00321DDB">
            <w:pPr>
              <w:pStyle w:val="BodyText"/>
              <w:spacing w:before="120" w:after="100"/>
              <w:jc w:val="center"/>
            </w:pPr>
            <w:r w:rsidRPr="00722C98">
              <w:t>x</w:t>
            </w:r>
          </w:p>
        </w:tc>
        <w:tc>
          <w:tcPr>
            <w:tcW w:w="1701" w:type="dxa"/>
            <w:shd w:val="clear" w:color="auto" w:fill="auto"/>
          </w:tcPr>
          <w:p w14:paraId="79EE1E9C" w14:textId="77777777" w:rsidR="00DA02A8" w:rsidRPr="00722C98" w:rsidRDefault="00DA02A8" w:rsidP="00321DDB">
            <w:pPr>
              <w:pStyle w:val="BodyText"/>
              <w:spacing w:before="120" w:after="100"/>
              <w:jc w:val="center"/>
              <w:rPr>
                <w:b/>
              </w:rPr>
            </w:pPr>
            <w:r w:rsidRPr="00722C98">
              <w:rPr>
                <w:b/>
              </w:rPr>
              <w:t>Average units used per hour</w:t>
            </w:r>
          </w:p>
        </w:tc>
        <w:tc>
          <w:tcPr>
            <w:tcW w:w="412" w:type="dxa"/>
            <w:shd w:val="clear" w:color="auto" w:fill="auto"/>
          </w:tcPr>
          <w:p w14:paraId="3F1943CD" w14:textId="77777777" w:rsidR="00DA02A8" w:rsidRPr="00722C98" w:rsidRDefault="00DA02A8" w:rsidP="00321DDB">
            <w:pPr>
              <w:pStyle w:val="BodyText"/>
              <w:spacing w:before="120" w:after="100"/>
              <w:jc w:val="center"/>
            </w:pPr>
            <w:r w:rsidRPr="00722C98">
              <w:t>x</w:t>
            </w:r>
          </w:p>
        </w:tc>
        <w:tc>
          <w:tcPr>
            <w:tcW w:w="4506" w:type="dxa"/>
            <w:shd w:val="clear" w:color="auto" w:fill="auto"/>
          </w:tcPr>
          <w:p w14:paraId="474AF680" w14:textId="77777777" w:rsidR="00DA02A8" w:rsidRDefault="00DA02A8" w:rsidP="00321DDB">
            <w:pPr>
              <w:pStyle w:val="BodyText"/>
              <w:spacing w:before="120" w:after="100"/>
              <w:ind w:right="-1388"/>
              <w:rPr>
                <w:b/>
              </w:rPr>
            </w:pPr>
            <w:r w:rsidRPr="00722C98">
              <w:rPr>
                <w:b/>
              </w:rPr>
              <w:t xml:space="preserve">Total </w:t>
            </w:r>
            <w:r>
              <w:rPr>
                <w:b/>
              </w:rPr>
              <w:t xml:space="preserve">annual </w:t>
            </w:r>
            <w:r w:rsidRPr="00722C98">
              <w:rPr>
                <w:b/>
              </w:rPr>
              <w:t>income</w:t>
            </w:r>
            <w:r>
              <w:rPr>
                <w:b/>
              </w:rPr>
              <w:t xml:space="preserve"> hours    =    Claim          = </w:t>
            </w:r>
          </w:p>
          <w:p w14:paraId="21DF5CFA" w14:textId="77777777" w:rsidR="00DA02A8" w:rsidRPr="00722C98" w:rsidRDefault="00DA02A8" w:rsidP="00321DDB">
            <w:pPr>
              <w:pStyle w:val="BodyText"/>
              <w:spacing w:before="120" w:after="100"/>
              <w:rPr>
                <w:b/>
              </w:rPr>
            </w:pPr>
          </w:p>
        </w:tc>
      </w:tr>
      <w:tr w:rsidR="00DA02A8" w:rsidRPr="008B5AE4" w14:paraId="01854A2A" w14:textId="77777777" w:rsidTr="00321DDB">
        <w:tc>
          <w:tcPr>
            <w:tcW w:w="2811" w:type="dxa"/>
            <w:shd w:val="clear" w:color="auto" w:fill="auto"/>
          </w:tcPr>
          <w:p w14:paraId="12516DDA" w14:textId="77777777" w:rsidR="00DA02A8" w:rsidRDefault="00DA02A8" w:rsidP="00321DDB">
            <w:pPr>
              <w:pStyle w:val="BodyText"/>
              <w:spacing w:before="120" w:after="100"/>
              <w:rPr>
                <w:i/>
              </w:rPr>
            </w:pPr>
          </w:p>
          <w:p w14:paraId="58F009F4" w14:textId="77777777" w:rsidR="00DA02A8" w:rsidRPr="008B5AE4" w:rsidRDefault="00DA02A8" w:rsidP="00321DDB">
            <w:pPr>
              <w:pStyle w:val="BodyText"/>
              <w:spacing w:before="120" w:after="100"/>
              <w:rPr>
                <w:i/>
              </w:rPr>
            </w:pPr>
            <w:r>
              <w:rPr>
                <w:i/>
              </w:rPr>
              <w:t xml:space="preserve">           </w:t>
            </w:r>
            <w:r w:rsidRPr="008B5AE4">
              <w:rPr>
                <w:i/>
              </w:rPr>
              <w:t>$</w:t>
            </w:r>
            <w:r>
              <w:rPr>
                <w:i/>
              </w:rPr>
              <w:t>______________</w:t>
            </w:r>
          </w:p>
        </w:tc>
        <w:tc>
          <w:tcPr>
            <w:tcW w:w="352" w:type="dxa"/>
            <w:shd w:val="clear" w:color="auto" w:fill="auto"/>
          </w:tcPr>
          <w:p w14:paraId="0BBAB39B" w14:textId="77777777" w:rsidR="00DA02A8" w:rsidRDefault="00DA02A8" w:rsidP="00321DDB">
            <w:pPr>
              <w:pStyle w:val="BodyText"/>
              <w:spacing w:before="120" w:after="100"/>
              <w:jc w:val="center"/>
              <w:rPr>
                <w:i/>
              </w:rPr>
            </w:pPr>
          </w:p>
          <w:p w14:paraId="1488EC3F" w14:textId="77777777" w:rsidR="00DA02A8" w:rsidRPr="008B5AE4" w:rsidRDefault="00DA02A8" w:rsidP="00321DDB">
            <w:pPr>
              <w:pStyle w:val="BodyText"/>
              <w:spacing w:before="120" w:after="100"/>
              <w:jc w:val="center"/>
              <w:rPr>
                <w:i/>
              </w:rPr>
            </w:pPr>
            <w:r w:rsidRPr="008B5AE4">
              <w:rPr>
                <w:i/>
              </w:rPr>
              <w:t>x</w:t>
            </w:r>
          </w:p>
        </w:tc>
        <w:tc>
          <w:tcPr>
            <w:tcW w:w="1701" w:type="dxa"/>
            <w:shd w:val="clear" w:color="auto" w:fill="auto"/>
          </w:tcPr>
          <w:p w14:paraId="63DBE36F" w14:textId="77777777" w:rsidR="00DA02A8" w:rsidRDefault="00DA02A8" w:rsidP="00321DDB">
            <w:pPr>
              <w:pStyle w:val="BodyText"/>
              <w:spacing w:before="120" w:after="100"/>
              <w:jc w:val="center"/>
              <w:rPr>
                <w:i/>
              </w:rPr>
            </w:pPr>
          </w:p>
          <w:p w14:paraId="05B0FC29" w14:textId="77777777" w:rsidR="00DA02A8" w:rsidRPr="008B5AE4" w:rsidRDefault="00DA02A8" w:rsidP="00321DDB">
            <w:pPr>
              <w:pStyle w:val="BodyText"/>
              <w:spacing w:before="120" w:after="100"/>
              <w:jc w:val="center"/>
              <w:rPr>
                <w:i/>
              </w:rPr>
            </w:pPr>
            <w:r w:rsidRPr="008B5AE4">
              <w:rPr>
                <w:i/>
              </w:rPr>
              <w:t>Units</w:t>
            </w:r>
          </w:p>
        </w:tc>
        <w:tc>
          <w:tcPr>
            <w:tcW w:w="412" w:type="dxa"/>
            <w:shd w:val="clear" w:color="auto" w:fill="auto"/>
          </w:tcPr>
          <w:p w14:paraId="71C65468" w14:textId="77777777" w:rsidR="00DA02A8" w:rsidRDefault="00DA02A8" w:rsidP="00321DDB">
            <w:pPr>
              <w:pStyle w:val="BodyText"/>
              <w:spacing w:before="120" w:after="100"/>
              <w:jc w:val="center"/>
              <w:rPr>
                <w:i/>
              </w:rPr>
            </w:pPr>
          </w:p>
          <w:p w14:paraId="60A11DBA" w14:textId="77777777" w:rsidR="00DA02A8" w:rsidRPr="008B5AE4" w:rsidRDefault="00DA02A8" w:rsidP="00321DDB">
            <w:pPr>
              <w:pStyle w:val="BodyText"/>
              <w:spacing w:before="120" w:after="100"/>
              <w:jc w:val="center"/>
              <w:rPr>
                <w:i/>
              </w:rPr>
            </w:pPr>
            <w:r w:rsidRPr="008B5AE4">
              <w:rPr>
                <w:i/>
              </w:rPr>
              <w:t>x</w:t>
            </w:r>
          </w:p>
        </w:tc>
        <w:tc>
          <w:tcPr>
            <w:tcW w:w="4506" w:type="dxa"/>
            <w:shd w:val="clear" w:color="auto" w:fill="auto"/>
          </w:tcPr>
          <w:p w14:paraId="1FFE63D4" w14:textId="77777777" w:rsidR="00DA02A8" w:rsidRDefault="00DA02A8" w:rsidP="00321DDB">
            <w:pPr>
              <w:pStyle w:val="BodyText"/>
              <w:tabs>
                <w:tab w:val="left" w:pos="1273"/>
                <w:tab w:val="left" w:pos="1982"/>
                <w:tab w:val="right" w:pos="3327"/>
              </w:tabs>
              <w:spacing w:before="120" w:after="100"/>
              <w:jc w:val="left"/>
              <w:rPr>
                <w:i/>
              </w:rPr>
            </w:pPr>
          </w:p>
          <w:p w14:paraId="7D488E22" w14:textId="77777777" w:rsidR="00DA02A8" w:rsidRPr="006F743E" w:rsidRDefault="00DA02A8" w:rsidP="00321DDB">
            <w:pPr>
              <w:pStyle w:val="BodyText"/>
              <w:tabs>
                <w:tab w:val="left" w:pos="1273"/>
                <w:tab w:val="left" w:pos="1982"/>
                <w:tab w:val="right" w:pos="3327"/>
              </w:tabs>
              <w:spacing w:before="120" w:after="100"/>
              <w:ind w:right="-1244"/>
              <w:jc w:val="left"/>
              <w:rPr>
                <w:szCs w:val="21"/>
                <w:u w:val="double"/>
              </w:rPr>
            </w:pPr>
            <w:r>
              <w:rPr>
                <w:i/>
              </w:rPr>
              <w:t xml:space="preserve">Annual income hours </w:t>
            </w:r>
            <w:r w:rsidRPr="008B5AE4">
              <w:rPr>
                <w:i/>
              </w:rPr>
              <w:t xml:space="preserve"> </w:t>
            </w:r>
            <w:r>
              <w:rPr>
                <w:i/>
              </w:rPr>
              <w:t xml:space="preserve">              =  </w:t>
            </w:r>
            <w:r>
              <w:t>$</w:t>
            </w:r>
          </w:p>
          <w:p w14:paraId="6381B18D" w14:textId="77777777" w:rsidR="00DA02A8" w:rsidRPr="008B5AE4" w:rsidRDefault="00DA02A8" w:rsidP="00321DDB">
            <w:pPr>
              <w:pStyle w:val="BodyText"/>
              <w:tabs>
                <w:tab w:val="left" w:pos="1273"/>
                <w:tab w:val="left" w:pos="1982"/>
                <w:tab w:val="right" w:pos="3327"/>
              </w:tabs>
              <w:spacing w:before="120" w:after="100"/>
              <w:ind w:right="-1244"/>
              <w:jc w:val="left"/>
              <w:rPr>
                <w:i/>
              </w:rPr>
            </w:pPr>
          </w:p>
        </w:tc>
      </w:tr>
    </w:tbl>
    <w:p w14:paraId="717ADBDC" w14:textId="77777777" w:rsidR="00DA02A8" w:rsidRDefault="00DA02A8" w:rsidP="00DA02A8">
      <w:pPr>
        <w:rPr>
          <w:rFonts w:ascii="Arial Black" w:hAnsi="Arial Black"/>
          <w:b/>
        </w:rPr>
      </w:pPr>
      <w:r w:rsidRPr="00C544AD">
        <w:rPr>
          <w:rFonts w:ascii="Arial Black" w:hAnsi="Arial Black"/>
          <w:b/>
        </w:rPr>
        <w:t xml:space="preserve">Occupancy expenses </w:t>
      </w:r>
    </w:p>
    <w:p w14:paraId="11518661" w14:textId="77777777" w:rsidR="00DA02A8" w:rsidRPr="00C544AD" w:rsidRDefault="00DA02A8" w:rsidP="00DA02A8">
      <w:pPr>
        <w:rPr>
          <w:rFonts w:ascii="Arial Black" w:hAnsi="Arial Black"/>
          <w:b/>
        </w:rPr>
      </w:pPr>
    </w:p>
    <w:p w14:paraId="7F9CF533" w14:textId="77777777" w:rsidR="00DA02A8" w:rsidRPr="00BB3282" w:rsidRDefault="00DA02A8" w:rsidP="00DA02A8">
      <w:pPr>
        <w:pStyle w:val="BodyText"/>
      </w:pPr>
      <w:r w:rsidRPr="00BB3282">
        <w:t xml:space="preserve">Occupancy expenses are only claimable where the home office is the taxpayer’s ‘place of business’ or ‘sole base of operations’.  </w:t>
      </w:r>
      <w:r>
        <w:t xml:space="preserve">Refer to Taxation Ruling TR 93/30.  These expenses include expenses such as appropriately apportioned rent, mortgage interest, rates and building insurance. </w:t>
      </w:r>
    </w:p>
    <w:p w14:paraId="4377AE0C" w14:textId="77777777" w:rsidR="00DA02A8" w:rsidRPr="00707C26" w:rsidRDefault="00DA02A8" w:rsidP="00DA02A8">
      <w:pPr>
        <w:pStyle w:val="BodyText"/>
        <w:rPr>
          <w:i/>
          <w:u w:val="single"/>
        </w:rPr>
      </w:pPr>
      <w:r w:rsidRPr="00707C26">
        <w:rPr>
          <w:i/>
        </w:rPr>
        <w:t xml:space="preserve">Note: In many instances, taxpayers eligible to claim home office running expenses may </w:t>
      </w:r>
      <w:r w:rsidRPr="00707C26">
        <w:rPr>
          <w:b/>
          <w:i/>
        </w:rPr>
        <w:t>not</w:t>
      </w:r>
      <w:r w:rsidRPr="00707C26">
        <w:rPr>
          <w:i/>
        </w:rPr>
        <w:t xml:space="preserve"> be eligible to claim a deduction for occupancy expenses where they do not satisfy the requirement outlined in TR 93/30.</w:t>
      </w:r>
      <w:r w:rsidRPr="00707C26">
        <w:rPr>
          <w:i/>
          <w:u w:val="single"/>
        </w:rPr>
        <w:t xml:space="preserve"> </w:t>
      </w:r>
    </w:p>
    <w:p w14:paraId="615CDA66" w14:textId="77777777" w:rsidR="00DA02A8" w:rsidRPr="00745266" w:rsidRDefault="00DA02A8" w:rsidP="00DA02A8">
      <w:pPr>
        <w:pStyle w:val="BodyText"/>
        <w:rPr>
          <w:b/>
        </w:rPr>
      </w:pPr>
      <w:r w:rsidRPr="00745266">
        <w:rPr>
          <w:b/>
        </w:rPr>
        <w:t>Total occupancy expenses</w:t>
      </w:r>
    </w:p>
    <w:p w14:paraId="4233654E" w14:textId="77777777" w:rsidR="00DA02A8" w:rsidRDefault="00DA02A8" w:rsidP="00DA02A8">
      <w:pPr>
        <w:pStyle w:val="BodyText"/>
        <w:tabs>
          <w:tab w:val="right" w:leader="underscore" w:pos="3969"/>
          <w:tab w:val="left" w:pos="5670"/>
          <w:tab w:val="right" w:pos="7371"/>
        </w:tabs>
      </w:pPr>
      <w:r>
        <w:tab/>
      </w:r>
      <w:r>
        <w:tab/>
        <w:t>$</w:t>
      </w:r>
    </w:p>
    <w:p w14:paraId="48C22A8A" w14:textId="77777777" w:rsidR="00DA02A8" w:rsidRDefault="00DA02A8" w:rsidP="00DA02A8">
      <w:pPr>
        <w:pStyle w:val="BodyText"/>
        <w:tabs>
          <w:tab w:val="right" w:leader="underscore" w:pos="3969"/>
          <w:tab w:val="left" w:pos="5670"/>
          <w:tab w:val="right" w:pos="7371"/>
        </w:tabs>
      </w:pPr>
      <w:r>
        <w:tab/>
      </w:r>
      <w:r>
        <w:tab/>
        <w:t>$</w:t>
      </w:r>
    </w:p>
    <w:p w14:paraId="5BE6DBBA" w14:textId="77777777" w:rsidR="00DA02A8" w:rsidRDefault="00DA02A8" w:rsidP="00DA02A8">
      <w:pPr>
        <w:pStyle w:val="BodyText"/>
        <w:tabs>
          <w:tab w:val="right" w:leader="underscore" w:pos="3969"/>
          <w:tab w:val="left" w:pos="5670"/>
          <w:tab w:val="right" w:pos="7371"/>
        </w:tabs>
      </w:pPr>
      <w:r>
        <w:tab/>
      </w:r>
      <w:r>
        <w:tab/>
        <w:t>$</w:t>
      </w:r>
    </w:p>
    <w:p w14:paraId="4288687B" w14:textId="77777777" w:rsidR="00DA02A8" w:rsidRPr="00C972AB" w:rsidRDefault="00DA02A8" w:rsidP="00DA02A8">
      <w:pPr>
        <w:pStyle w:val="BodyText"/>
        <w:tabs>
          <w:tab w:val="right" w:leader="underscore" w:pos="3969"/>
          <w:tab w:val="left" w:pos="5670"/>
          <w:tab w:val="right" w:pos="7371"/>
        </w:tabs>
        <w:rPr>
          <w:u w:val="single"/>
        </w:rPr>
      </w:pPr>
      <w:r>
        <w:tab/>
      </w:r>
      <w:r>
        <w:tab/>
      </w:r>
      <w:r w:rsidRPr="00C972AB">
        <w:rPr>
          <w:u w:val="single"/>
        </w:rPr>
        <w:t>$</w:t>
      </w:r>
      <w:r w:rsidRPr="00C972AB">
        <w:rPr>
          <w:u w:val="single"/>
        </w:rPr>
        <w:tab/>
      </w:r>
    </w:p>
    <w:p w14:paraId="061CFE78" w14:textId="77777777" w:rsidR="00DA02A8" w:rsidRDefault="00DA02A8" w:rsidP="00DA02A8">
      <w:pPr>
        <w:pStyle w:val="BodyText"/>
        <w:tabs>
          <w:tab w:val="left" w:pos="5670"/>
        </w:tabs>
      </w:pPr>
    </w:p>
    <w:p w14:paraId="215AF585" w14:textId="77777777" w:rsidR="00DA02A8" w:rsidRDefault="00DA02A8" w:rsidP="00DA02A8">
      <w:pPr>
        <w:pStyle w:val="BodyText"/>
        <w:tabs>
          <w:tab w:val="left" w:pos="5670"/>
        </w:tabs>
      </w:pPr>
      <w:r>
        <w:t>Total occupancy expenses</w:t>
      </w:r>
      <w:r>
        <w:tab/>
        <w:t>$</w:t>
      </w:r>
      <w:r>
        <w:tab/>
      </w:r>
      <w:r>
        <w:tab/>
      </w:r>
    </w:p>
    <w:p w14:paraId="3989C470" w14:textId="77777777" w:rsidR="00DA02A8" w:rsidRDefault="00DA02A8" w:rsidP="00DA02A8">
      <w:pPr>
        <w:pStyle w:val="BodyText"/>
        <w:tabs>
          <w:tab w:val="left" w:pos="4820"/>
          <w:tab w:val="left" w:pos="5670"/>
          <w:tab w:val="right" w:pos="7371"/>
          <w:tab w:val="left" w:pos="7513"/>
        </w:tabs>
        <w:spacing w:after="0"/>
      </w:pPr>
      <w:r>
        <w:t>Floor area of home office</w:t>
      </w:r>
      <w:r>
        <w:tab/>
        <w:t>x</w:t>
      </w:r>
      <w:r>
        <w:tab/>
      </w:r>
      <w:r w:rsidRPr="00C972AB">
        <w:rPr>
          <w:u w:val="single"/>
        </w:rPr>
        <w:tab/>
      </w:r>
      <w:r>
        <w:tab/>
        <w:t>m</w:t>
      </w:r>
      <w:r w:rsidRPr="006F6723">
        <w:rPr>
          <w:szCs w:val="21"/>
          <w:vertAlign w:val="superscript"/>
        </w:rPr>
        <w:t>2</w:t>
      </w:r>
    </w:p>
    <w:p w14:paraId="7541BD59" w14:textId="77777777" w:rsidR="00DA02A8" w:rsidRPr="00C972AB" w:rsidRDefault="00DA02A8" w:rsidP="00DA02A8">
      <w:pPr>
        <w:pStyle w:val="BodyText"/>
        <w:rPr>
          <w:i/>
        </w:rPr>
      </w:pPr>
      <w:r w:rsidRPr="00C972AB">
        <w:rPr>
          <w:i/>
        </w:rPr>
        <w:t>(Expressed in square metres)</w:t>
      </w:r>
      <w:r w:rsidRPr="00C972AB">
        <w:rPr>
          <w:i/>
        </w:rPr>
        <w:tab/>
      </w:r>
      <w:r w:rsidRPr="00C972AB">
        <w:rPr>
          <w:i/>
        </w:rPr>
        <w:tab/>
      </w:r>
    </w:p>
    <w:p w14:paraId="7609F62A" w14:textId="77777777" w:rsidR="00DA02A8" w:rsidRDefault="00DA02A8" w:rsidP="00DA02A8">
      <w:pPr>
        <w:pStyle w:val="BodyText"/>
        <w:tabs>
          <w:tab w:val="right" w:pos="4962"/>
          <w:tab w:val="left" w:pos="5670"/>
          <w:tab w:val="right" w:pos="7371"/>
        </w:tabs>
      </w:pPr>
      <w:r>
        <w:tab/>
      </w:r>
      <w:r>
        <w:tab/>
        <w:t>$</w:t>
      </w:r>
      <w:r>
        <w:tab/>
      </w:r>
    </w:p>
    <w:p w14:paraId="7735ACC1" w14:textId="77777777" w:rsidR="00DA02A8" w:rsidRDefault="00DA02A8" w:rsidP="00DA02A8">
      <w:pPr>
        <w:pStyle w:val="BodyText"/>
        <w:tabs>
          <w:tab w:val="right" w:pos="4962"/>
          <w:tab w:val="left" w:pos="5670"/>
          <w:tab w:val="right" w:pos="7371"/>
          <w:tab w:val="left" w:pos="7513"/>
        </w:tabs>
        <w:rPr>
          <w:rFonts w:ascii="Batang" w:eastAsia="Batang" w:hAnsi="Batang" w:cs="Batang"/>
        </w:rPr>
      </w:pPr>
      <w:r>
        <w:t>Total floor area</w:t>
      </w:r>
      <w:r>
        <w:tab/>
      </w:r>
      <w:r>
        <w:rPr>
          <w:rFonts w:ascii="Times New Roman" w:hAnsi="Times New Roman"/>
        </w:rPr>
        <w:sym w:font="Symbol" w:char="F0B8"/>
      </w:r>
      <w:r>
        <w:rPr>
          <w:rFonts w:ascii="Batang" w:eastAsia="Batang" w:hAnsi="Batang" w:cs="Batang" w:hint="eastAsia"/>
        </w:rPr>
        <w:tab/>
      </w:r>
      <w:r w:rsidRPr="00C972AB">
        <w:rPr>
          <w:rFonts w:ascii="Batang" w:eastAsia="Batang" w:hAnsi="Batang" w:cs="Batang" w:hint="eastAsia"/>
          <w:u w:val="single"/>
        </w:rPr>
        <w:tab/>
      </w:r>
      <w:r w:rsidRPr="00C972AB">
        <w:rPr>
          <w:rFonts w:hint="eastAsia"/>
          <w:u w:val="single"/>
        </w:rPr>
        <w:tab/>
      </w:r>
      <w:r w:rsidRPr="00C972AB">
        <w:t>m</w:t>
      </w:r>
      <w:r w:rsidRPr="00821BAD">
        <w:rPr>
          <w:szCs w:val="21"/>
          <w:vertAlign w:val="superscript"/>
        </w:rPr>
        <w:t>2</w:t>
      </w:r>
    </w:p>
    <w:p w14:paraId="61315FEC" w14:textId="77777777" w:rsidR="00DA02A8" w:rsidRPr="00C972AB" w:rsidRDefault="00DA02A8" w:rsidP="00DA02A8">
      <w:pPr>
        <w:pStyle w:val="BodyText"/>
        <w:tabs>
          <w:tab w:val="right" w:pos="4962"/>
          <w:tab w:val="left" w:pos="5670"/>
          <w:tab w:val="right" w:pos="7371"/>
        </w:tabs>
        <w:rPr>
          <w:b/>
        </w:rPr>
      </w:pPr>
      <w:r w:rsidRPr="00C972AB">
        <w:rPr>
          <w:b/>
        </w:rPr>
        <w:t>Occupancy expense</w:t>
      </w:r>
      <w:r w:rsidRPr="00C972AB">
        <w:rPr>
          <w:b/>
        </w:rPr>
        <w:tab/>
      </w:r>
      <w:r w:rsidRPr="00C972AB">
        <w:rPr>
          <w:b/>
        </w:rPr>
        <w:tab/>
      </w:r>
      <w:r w:rsidRPr="00C972AB">
        <w:rPr>
          <w:b/>
          <w:szCs w:val="21"/>
          <w:u w:val="double"/>
        </w:rPr>
        <w:t>$</w:t>
      </w:r>
      <w:r w:rsidRPr="00C972AB">
        <w:rPr>
          <w:b/>
          <w:szCs w:val="21"/>
          <w:u w:val="double"/>
        </w:rPr>
        <w:tab/>
      </w:r>
      <w:r w:rsidRPr="00C972AB">
        <w:rPr>
          <w:b/>
        </w:rPr>
        <w:tab/>
      </w:r>
    </w:p>
    <w:p w14:paraId="3E39CBA8" w14:textId="77777777" w:rsidR="00DA02A8" w:rsidRPr="00C972AB" w:rsidRDefault="00DA02A8" w:rsidP="00DA02A8">
      <w:pPr>
        <w:pStyle w:val="BodyText"/>
        <w:tabs>
          <w:tab w:val="right" w:pos="4962"/>
          <w:tab w:val="left" w:pos="5670"/>
          <w:tab w:val="right" w:pos="7371"/>
        </w:tabs>
        <w:rPr>
          <w:b/>
        </w:rPr>
      </w:pPr>
      <w:r w:rsidRPr="00C972AB">
        <w:rPr>
          <w:b/>
        </w:rPr>
        <w:t xml:space="preserve">Running expenses </w:t>
      </w:r>
      <w:r w:rsidRPr="00C972AB">
        <w:rPr>
          <w:b/>
        </w:rPr>
        <w:tab/>
        <w:t>+</w:t>
      </w:r>
      <w:r w:rsidRPr="00C972AB">
        <w:rPr>
          <w:b/>
        </w:rPr>
        <w:tab/>
      </w:r>
      <w:r w:rsidRPr="00C972AB">
        <w:rPr>
          <w:b/>
          <w:szCs w:val="21"/>
          <w:u w:val="double"/>
        </w:rPr>
        <w:t>$</w:t>
      </w:r>
      <w:r w:rsidRPr="00C972AB">
        <w:rPr>
          <w:b/>
          <w:szCs w:val="21"/>
          <w:u w:val="double"/>
        </w:rPr>
        <w:tab/>
      </w:r>
      <w:r w:rsidRPr="00C972AB">
        <w:rPr>
          <w:b/>
        </w:rPr>
        <w:tab/>
      </w:r>
    </w:p>
    <w:p w14:paraId="4A46CD96" w14:textId="77777777" w:rsidR="00DA02A8" w:rsidRDefault="00DA02A8" w:rsidP="00DA02A8">
      <w:pPr>
        <w:pStyle w:val="BodyText"/>
        <w:tabs>
          <w:tab w:val="right" w:pos="4962"/>
          <w:tab w:val="left" w:pos="5670"/>
          <w:tab w:val="right" w:pos="7371"/>
        </w:tabs>
        <w:spacing w:after="0"/>
        <w:rPr>
          <w:szCs w:val="21"/>
          <w:u w:val="double"/>
        </w:rPr>
      </w:pPr>
      <w:r w:rsidRPr="00C972AB">
        <w:rPr>
          <w:b/>
        </w:rPr>
        <w:t xml:space="preserve">Total home office expenses </w:t>
      </w:r>
      <w:r>
        <w:tab/>
      </w:r>
      <w:r>
        <w:tab/>
      </w:r>
      <w:r w:rsidRPr="00C972AB">
        <w:rPr>
          <w:szCs w:val="21"/>
          <w:u w:val="double"/>
        </w:rPr>
        <w:t>$</w:t>
      </w:r>
      <w:r w:rsidRPr="00C972AB">
        <w:rPr>
          <w:szCs w:val="21"/>
          <w:u w:val="double"/>
        </w:rPr>
        <w:tab/>
      </w:r>
    </w:p>
    <w:p w14:paraId="1949E05E" w14:textId="77777777" w:rsidR="00DA02A8" w:rsidRDefault="00DA02A8" w:rsidP="00DA02A8">
      <w:pPr>
        <w:pStyle w:val="BodyText"/>
        <w:tabs>
          <w:tab w:val="right" w:pos="4962"/>
          <w:tab w:val="left" w:pos="5670"/>
          <w:tab w:val="right" w:pos="7371"/>
        </w:tabs>
        <w:spacing w:after="360"/>
        <w:rPr>
          <w:i/>
        </w:rPr>
      </w:pPr>
      <w:r w:rsidRPr="00C972AB">
        <w:rPr>
          <w:i/>
        </w:rPr>
        <w:t>(Occupancy + running expenses)</w:t>
      </w:r>
    </w:p>
    <w:p w14:paraId="423126B4" w14:textId="77777777" w:rsidR="00DA02A8" w:rsidRPr="008B44BF" w:rsidRDefault="00DA02A8" w:rsidP="00DA02A8">
      <w:pPr>
        <w:pStyle w:val="BodyText"/>
      </w:pPr>
      <w:r w:rsidRPr="00F13178">
        <w:rPr>
          <w:i/>
          <w:shd w:val="clear" w:color="auto" w:fill="FFFFFF"/>
        </w:rPr>
        <w:t xml:space="preserve">Note: </w:t>
      </w:r>
      <w:r>
        <w:rPr>
          <w:i/>
          <w:shd w:val="clear" w:color="auto" w:fill="FFFFFF"/>
        </w:rPr>
        <w:t>W</w:t>
      </w:r>
      <w:r w:rsidRPr="00F13178">
        <w:rPr>
          <w:i/>
          <w:shd w:val="clear" w:color="auto" w:fill="FFFFFF"/>
        </w:rPr>
        <w:t xml:space="preserve">here an area of the home is a place of business for part of the year only, it may be necessary for occupancy expenses to be apportioned on </w:t>
      </w:r>
      <w:r w:rsidRPr="00914630">
        <w:rPr>
          <w:b/>
          <w:i/>
          <w:shd w:val="clear" w:color="auto" w:fill="FFFFFF"/>
        </w:rPr>
        <w:t>both a floor area and a time basis</w:t>
      </w:r>
      <w:r w:rsidRPr="00F13178">
        <w:rPr>
          <w:i/>
          <w:shd w:val="clear" w:color="auto" w:fill="FFFFFF"/>
        </w:rPr>
        <w:t xml:space="preserve">. The time apportionment should reflect the period </w:t>
      </w:r>
      <w:r>
        <w:rPr>
          <w:i/>
          <w:shd w:val="clear" w:color="auto" w:fill="FFFFFF"/>
        </w:rPr>
        <w:t>during the income year</w:t>
      </w:r>
      <w:r w:rsidRPr="00F13178">
        <w:rPr>
          <w:i/>
          <w:shd w:val="clear" w:color="auto" w:fill="FFFFFF"/>
        </w:rPr>
        <w:t xml:space="preserve"> in which the </w:t>
      </w:r>
      <w:r>
        <w:rPr>
          <w:i/>
          <w:shd w:val="clear" w:color="auto" w:fill="FFFFFF"/>
        </w:rPr>
        <w:t xml:space="preserve">relevant area of the taxpayer’s home </w:t>
      </w:r>
      <w:r w:rsidRPr="00F13178">
        <w:rPr>
          <w:i/>
          <w:shd w:val="clear" w:color="auto" w:fill="FFFFFF"/>
        </w:rPr>
        <w:t xml:space="preserve">room </w:t>
      </w:r>
      <w:r>
        <w:rPr>
          <w:i/>
          <w:shd w:val="clear" w:color="auto" w:fill="FFFFFF"/>
        </w:rPr>
        <w:t>was</w:t>
      </w:r>
      <w:r w:rsidRPr="00F13178">
        <w:rPr>
          <w:i/>
          <w:shd w:val="clear" w:color="auto" w:fill="FFFFFF"/>
        </w:rPr>
        <w:t xml:space="preserve"> used for income producing purposes</w:t>
      </w:r>
      <w:r>
        <w:rPr>
          <w:i/>
          <w:shd w:val="clear" w:color="auto" w:fill="FFFFFF"/>
        </w:rPr>
        <w:t>.</w:t>
      </w:r>
    </w:p>
    <w:sectPr w:rsidR="00DA02A8" w:rsidRPr="008B44BF"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179E"/>
    <w:multiLevelType w:val="hybridMultilevel"/>
    <w:tmpl w:val="73E6DC52"/>
    <w:lvl w:ilvl="0" w:tplc="648CE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14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A8"/>
    <w:rsid w:val="006813D2"/>
    <w:rsid w:val="00970E3A"/>
    <w:rsid w:val="00DA02A8"/>
    <w:rsid w:val="00EB2F68"/>
    <w:rsid w:val="00F774E9"/>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9CB1"/>
  <w14:defaultImageDpi w14:val="32767"/>
  <w15:chartTrackingRefBased/>
  <w15:docId w15:val="{8717B18C-E05C-F345-9CC6-B3F794CE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02A8"/>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DA02A8"/>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DA02A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DA02A8"/>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DA02A8"/>
    <w:rPr>
      <w:rFonts w:ascii="Arial" w:eastAsia="MS Mincho" w:hAnsi="Arial" w:cs="Times New Roman"/>
      <w:sz w:val="21"/>
      <w:szCs w:val="20"/>
      <w:lang w:val="en-AU"/>
    </w:rPr>
  </w:style>
  <w:style w:type="paragraph" w:customStyle="1" w:styleId="ExampleHeading">
    <w:name w:val="Example Heading"/>
    <w:basedOn w:val="BodyText"/>
    <w:next w:val="ExampleText"/>
    <w:link w:val="ExampleHeadingChar1"/>
    <w:qFormat/>
    <w:rsid w:val="00DA02A8"/>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link w:val="ExampleTextChar1"/>
    <w:qFormat/>
    <w:rsid w:val="00DA02A8"/>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character" w:customStyle="1" w:styleId="ExampleTextChar1">
    <w:name w:val="Example Text Char1"/>
    <w:link w:val="ExampleText"/>
    <w:rsid w:val="00DA02A8"/>
    <w:rPr>
      <w:rFonts w:ascii="Arial" w:eastAsia="MS Mincho" w:hAnsi="Arial" w:cs="Times New Roman"/>
      <w:snapToGrid w:val="0"/>
      <w:color w:val="000000"/>
      <w:sz w:val="22"/>
      <w:szCs w:val="20"/>
      <w:lang w:val="en-US"/>
    </w:rPr>
  </w:style>
  <w:style w:type="character" w:customStyle="1" w:styleId="ExampleHeadingChar1">
    <w:name w:val="Example Heading Char1"/>
    <w:link w:val="ExampleHeading"/>
    <w:rsid w:val="00DA02A8"/>
    <w:rPr>
      <w:rFonts w:ascii="Arial Black" w:eastAsia="MS Mincho" w:hAnsi="Arial Black"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2022-06-28T23:43:00Z</dcterms:created>
  <dcterms:modified xsi:type="dcterms:W3CDTF">2022-06-28T23:43:00Z</dcterms:modified>
</cp:coreProperties>
</file>